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080E47">
      <w:pPr>
        <w:jc w:val="center"/>
        <w:rPr>
          <w:rFonts w:hint="eastAsia" w:ascii="宋体" w:hAnsi="宋体" w:eastAsia="宋体" w:cs="宋体"/>
          <w:b/>
          <w:bCs/>
          <w:color w:val="0D0D0D"/>
          <w:spacing w:val="8"/>
          <w:kern w:val="2"/>
          <w:sz w:val="29"/>
          <w:szCs w:val="24"/>
        </w:rPr>
      </w:pPr>
      <w:r>
        <w:rPr>
          <w:rFonts w:hint="eastAsia" w:ascii="宋体" w:hAnsi="宋体" w:eastAsia="宋体" w:cs="宋体"/>
          <w:b/>
          <w:bCs/>
          <w:color w:val="0D0D0D"/>
          <w:spacing w:val="8"/>
          <w:kern w:val="2"/>
          <w:sz w:val="29"/>
          <w:szCs w:val="24"/>
        </w:rPr>
        <w:t>小学科学</w:t>
      </w:r>
      <w:r>
        <w:rPr>
          <w:rFonts w:hint="eastAsia" w:ascii="宋体" w:hAnsi="宋体" w:eastAsia="宋体" w:cs="宋体"/>
          <w:b/>
          <w:bCs/>
          <w:color w:val="0D0D0D"/>
          <w:spacing w:val="8"/>
          <w:kern w:val="2"/>
          <w:sz w:val="29"/>
          <w:szCs w:val="24"/>
          <w:lang w:val="en-US" w:eastAsia="zh-CN"/>
        </w:rPr>
        <w:t>六</w:t>
      </w:r>
      <w:r>
        <w:rPr>
          <w:rFonts w:hint="eastAsia" w:ascii="宋体" w:hAnsi="宋体" w:eastAsia="宋体" w:cs="宋体"/>
          <w:b/>
          <w:bCs/>
          <w:color w:val="0D0D0D"/>
          <w:spacing w:val="8"/>
          <w:kern w:val="2"/>
          <w:sz w:val="29"/>
          <w:szCs w:val="24"/>
        </w:rPr>
        <w:t>年级</w:t>
      </w:r>
      <w:r>
        <w:rPr>
          <w:rFonts w:hint="eastAsia" w:ascii="宋体" w:hAnsi="宋体" w:eastAsia="宋体" w:cs="宋体"/>
          <w:b/>
          <w:bCs/>
          <w:color w:val="0D0D0D"/>
          <w:spacing w:val="8"/>
          <w:kern w:val="2"/>
          <w:sz w:val="29"/>
          <w:szCs w:val="24"/>
          <w:lang w:val="en-US" w:eastAsia="zh-CN"/>
        </w:rPr>
        <w:t>上</w:t>
      </w:r>
      <w:r>
        <w:rPr>
          <w:rFonts w:hint="eastAsia" w:ascii="宋体" w:hAnsi="宋体" w:eastAsia="宋体" w:cs="宋体"/>
          <w:b/>
          <w:bCs/>
          <w:color w:val="0D0D0D"/>
          <w:spacing w:val="8"/>
          <w:kern w:val="2"/>
          <w:sz w:val="29"/>
          <w:szCs w:val="24"/>
        </w:rPr>
        <w:t>册教学计划</w:t>
      </w:r>
    </w:p>
    <w:p w14:paraId="2D10E58C">
      <w:pPr>
        <w:shd w:val="clear" w:color="auto" w:fill="FFFFFF"/>
        <w:adjustRightInd/>
        <w:snapToGrid/>
        <w:spacing w:after="0" w:line="383" w:lineRule="atLeast"/>
        <w:ind w:firstLine="480"/>
        <w:rPr>
          <w:rFonts w:hint="eastAsia" w:ascii="宋体" w:hAnsi="宋体" w:eastAsia="宋体" w:cs="宋体"/>
          <w:b/>
          <w:bCs/>
          <w:color w:val="0D0D0D"/>
          <w:spacing w:val="8"/>
          <w:kern w:val="2"/>
          <w:sz w:val="29"/>
          <w:szCs w:val="24"/>
        </w:rPr>
      </w:pPr>
      <w:r>
        <w:rPr>
          <w:rFonts w:hint="eastAsia" w:ascii="宋体" w:hAnsi="宋体" w:eastAsia="宋体" w:cs="宋体"/>
          <w:b/>
          <w:bCs/>
          <w:color w:val="0D0D0D"/>
          <w:spacing w:val="8"/>
          <w:kern w:val="0"/>
          <w:sz w:val="24"/>
          <w:szCs w:val="24"/>
          <w:lang w:eastAsia="zh-CN"/>
        </w:rPr>
        <w:t>一、学情分析</w:t>
      </w:r>
    </w:p>
    <w:p w14:paraId="596F7D39">
      <w:pPr>
        <w:widowControl w:val="0"/>
        <w:adjustRightInd/>
        <w:snapToGrid/>
        <w:spacing w:after="0" w:line="360" w:lineRule="auto"/>
        <w:ind w:firstLine="480" w:firstLineChars="200"/>
        <w:jc w:val="both"/>
        <w:rPr>
          <w:rFonts w:hint="eastAsia" w:ascii="宋体" w:hAnsi="宋体" w:eastAsia="宋体" w:cs="Times New Roman"/>
          <w:color w:val="0D0D0D"/>
          <w:kern w:val="2"/>
          <w:sz w:val="24"/>
          <w:szCs w:val="24"/>
          <w:lang w:eastAsia="zh-CN"/>
        </w:rPr>
      </w:pPr>
      <w:r>
        <w:rPr>
          <w:rFonts w:hint="eastAsia" w:ascii="宋体" w:hAnsi="宋体" w:eastAsia="宋体" w:cs="Times New Roman"/>
          <w:color w:val="0D0D0D"/>
          <w:kern w:val="2"/>
          <w:sz w:val="24"/>
          <w:szCs w:val="24"/>
          <w:lang w:eastAsia="zh-CN"/>
        </w:rPr>
        <w:t>通过几年的科学学习，大多数学生对科学课产生了浓厚的兴趣，已经具备了初步的探究能力，他们对周围世界产生了强烈的好奇心和探究欲望，乐于动手，善于操作。不足之处：上学期由于活动材料限制的原因，有一部分教学内容只是匆忙的走过场，有些探究活动甚至根本就没有开展，导致学生的知识面受到限制，影响了学生的科学素养的形成。还有，学生在活动的时候常常耗时低效，不能很好地利用宝贵的课堂时间。</w:t>
      </w:r>
    </w:p>
    <w:p w14:paraId="5F48417F">
      <w:pPr>
        <w:shd w:val="clear" w:color="auto" w:fill="FFFFFF"/>
        <w:adjustRightInd/>
        <w:snapToGrid/>
        <w:spacing w:after="0" w:line="383" w:lineRule="atLeast"/>
        <w:ind w:firstLine="480"/>
        <w:rPr>
          <w:rFonts w:hint="eastAsia" w:ascii="宋体" w:hAnsi="宋体" w:eastAsia="宋体" w:cs="宋体"/>
          <w:b/>
          <w:bCs/>
          <w:color w:val="0D0D0D"/>
          <w:spacing w:val="8"/>
          <w:kern w:val="0"/>
          <w:sz w:val="24"/>
          <w:szCs w:val="24"/>
          <w:lang w:eastAsia="zh-CN"/>
        </w:rPr>
      </w:pPr>
      <w:r>
        <w:rPr>
          <w:rFonts w:hint="eastAsia" w:ascii="宋体" w:hAnsi="宋体" w:eastAsia="宋体" w:cs="宋体"/>
          <w:b/>
          <w:bCs/>
          <w:color w:val="0D0D0D"/>
          <w:spacing w:val="8"/>
          <w:kern w:val="0"/>
          <w:sz w:val="24"/>
          <w:szCs w:val="24"/>
          <w:lang w:val="en-US" w:eastAsia="zh-CN"/>
        </w:rPr>
        <w:t>二</w:t>
      </w:r>
      <w:r>
        <w:rPr>
          <w:rFonts w:hint="eastAsia" w:ascii="宋体" w:hAnsi="宋体" w:eastAsia="宋体" w:cs="宋体"/>
          <w:b/>
          <w:bCs/>
          <w:color w:val="0D0D0D"/>
          <w:spacing w:val="8"/>
          <w:kern w:val="0"/>
          <w:sz w:val="24"/>
          <w:szCs w:val="24"/>
          <w:lang w:eastAsia="zh-CN"/>
        </w:rPr>
        <w:t>、教材分析</w:t>
      </w:r>
    </w:p>
    <w:p w14:paraId="0D517E74">
      <w:pPr>
        <w:widowControl w:val="0"/>
        <w:adjustRightInd/>
        <w:snapToGrid/>
        <w:spacing w:after="0" w:line="360" w:lineRule="auto"/>
        <w:ind w:firstLine="480" w:firstLineChars="200"/>
        <w:jc w:val="both"/>
        <w:rPr>
          <w:rFonts w:hint="eastAsia" w:ascii="宋体" w:hAnsi="宋体" w:eastAsia="宋体" w:cs="Times New Roman"/>
          <w:color w:val="0D0D0D"/>
          <w:kern w:val="2"/>
          <w:sz w:val="24"/>
          <w:szCs w:val="24"/>
          <w:lang w:eastAsia="zh-CN"/>
        </w:rPr>
      </w:pPr>
      <w:r>
        <w:rPr>
          <w:rFonts w:hint="eastAsia" w:ascii="宋体" w:hAnsi="宋体" w:eastAsia="宋体" w:cs="Times New Roman"/>
          <w:color w:val="0D0D0D"/>
          <w:kern w:val="2"/>
          <w:sz w:val="24"/>
          <w:szCs w:val="24"/>
          <w:lang w:eastAsia="zh-CN"/>
        </w:rPr>
        <w:t>六年级上册教科书由“微小世界”“地球的运动”“工具与技术”和“能量”四个单元组成。</w:t>
      </w:r>
    </w:p>
    <w:p w14:paraId="1BD67DE2">
      <w:pPr>
        <w:widowControl w:val="0"/>
        <w:adjustRightInd/>
        <w:snapToGrid/>
        <w:spacing w:after="0" w:line="360" w:lineRule="auto"/>
        <w:ind w:firstLine="480" w:firstLineChars="200"/>
        <w:jc w:val="both"/>
        <w:rPr>
          <w:rFonts w:hint="eastAsia" w:ascii="宋体" w:hAnsi="宋体" w:eastAsia="宋体" w:cs="Times New Roman"/>
          <w:color w:val="0D0D0D"/>
          <w:kern w:val="2"/>
          <w:sz w:val="24"/>
          <w:szCs w:val="24"/>
          <w:lang w:eastAsia="zh-CN"/>
        </w:rPr>
      </w:pPr>
      <w:r>
        <w:rPr>
          <w:rFonts w:hint="eastAsia" w:ascii="宋体" w:hAnsi="宋体" w:eastAsia="宋体" w:cs="Times New Roman"/>
          <w:color w:val="0D0D0D"/>
          <w:kern w:val="2"/>
          <w:sz w:val="24"/>
          <w:szCs w:val="24"/>
          <w:lang w:eastAsia="zh-CN"/>
        </w:rPr>
        <w:t>“微小世界”单元，将带领学生观察和研究日常生活中未曾关注或知之甚少的微小物体。这个单元按人类观察工具和观察视野的不断发展这条线索编写，引导学生利用肉眼、放大镜和显微镜观察身边的微小物体，如较小的昆虫、昆虫的器官、生物细胞、水中常见的微小生物等，借助这样的实践活动，发展学生在光学、生物、物质的结构、科学史等多个方面的认知，并让学生从中深切体会到科学技术的进步对促进社会发展的巨大作用。这个单元虽以观察为主，但同时有机融人查阅资料、动手制作、对比分析等多种学习形式，打开了学生的视野，丰富了他们的认知。</w:t>
      </w:r>
    </w:p>
    <w:p w14:paraId="05640C17">
      <w:pPr>
        <w:widowControl w:val="0"/>
        <w:adjustRightInd/>
        <w:snapToGrid/>
        <w:spacing w:after="0" w:line="360" w:lineRule="auto"/>
        <w:ind w:firstLine="480" w:firstLineChars="200"/>
        <w:jc w:val="both"/>
        <w:rPr>
          <w:rFonts w:hint="eastAsia" w:ascii="宋体" w:hAnsi="宋体" w:eastAsia="宋体" w:cs="Times New Roman"/>
          <w:color w:val="0D0D0D"/>
          <w:kern w:val="2"/>
          <w:sz w:val="24"/>
          <w:szCs w:val="24"/>
          <w:lang w:eastAsia="zh-CN"/>
        </w:rPr>
      </w:pPr>
      <w:r>
        <w:rPr>
          <w:rFonts w:hint="eastAsia" w:ascii="宋体" w:hAnsi="宋体" w:eastAsia="宋体" w:cs="Times New Roman"/>
          <w:color w:val="0D0D0D"/>
          <w:kern w:val="2"/>
          <w:sz w:val="24"/>
          <w:szCs w:val="24"/>
          <w:lang w:eastAsia="zh-CN"/>
        </w:rPr>
        <w:t>“地球的运动”单元，旨在帮助学生理解和建构“在太阳系中，地球、月球和其他星球有规律地运动着”的大概念。因为学生并不能直接观察到地球运动，所以本单元将立足于学生的原有认知，引导学生系统而深人地采用模拟实验、查阅资料、实际观测、建构模型等多种探究方法，在探究中不断建构和修改自己对地球运动的认知模型。学生最终将认识到地球有规律地运动，从而形成昼夜交替、天体东升西落、四季更替等现象。在本单元的学习中，学生将在较大的尺度上认识地球和太阳的运动关系，借助推理、想象和模型认识地球上一些现象的成因，与“微小世界”单元形成良好的结构互动，有助于学生从更多的角度去探索和认识世界。</w:t>
      </w:r>
    </w:p>
    <w:p w14:paraId="4CEA0936">
      <w:pPr>
        <w:widowControl w:val="0"/>
        <w:adjustRightInd/>
        <w:snapToGrid/>
        <w:spacing w:after="0" w:line="360" w:lineRule="auto"/>
        <w:ind w:firstLine="480" w:firstLineChars="200"/>
        <w:jc w:val="both"/>
        <w:rPr>
          <w:rFonts w:hint="eastAsia" w:ascii="宋体" w:hAnsi="宋体" w:eastAsia="宋体" w:cs="Times New Roman"/>
          <w:color w:val="0D0D0D"/>
          <w:kern w:val="2"/>
          <w:sz w:val="24"/>
          <w:szCs w:val="24"/>
          <w:lang w:eastAsia="zh-CN"/>
        </w:rPr>
      </w:pPr>
      <w:r>
        <w:rPr>
          <w:rFonts w:hint="eastAsia" w:ascii="宋体" w:hAnsi="宋体" w:eastAsia="宋体" w:cs="Times New Roman"/>
          <w:color w:val="0D0D0D"/>
          <w:kern w:val="2"/>
          <w:sz w:val="24"/>
          <w:szCs w:val="24"/>
          <w:lang w:eastAsia="zh-CN"/>
        </w:rPr>
        <w:t>有了“微小世界”单元中学生对多种观察工具的使用和认识，“工具与技术”单元中学生的学习活动将更有基础。本单元希望学生对“技术发明通常蕴含着一定的科学原理”“技术包括人们利用和改造自然的方法、程序和产品”以及“工具是一种物化的技术”等主要概念有着自己的理解，为此，教科书选择了在人类发展历史上很有代表性的几种工具和技术进行学习和研究。学生通过对几种常用的简单机械——斜面、杠杆、轮轴等进行测试，使用剪刀、活字印刷、书本、电脑等工具和技术完成特定任务，从而深刻感悟到重大的发明和技术会给人类社会发展带来深远的影响并发生巨大的变化，利用工具和技术能更好地解决生活中的实际问题。</w:t>
      </w:r>
    </w:p>
    <w:p w14:paraId="1D0D1482">
      <w:pPr>
        <w:widowControl w:val="0"/>
        <w:adjustRightInd/>
        <w:snapToGrid/>
        <w:spacing w:after="0" w:line="360" w:lineRule="auto"/>
        <w:ind w:firstLine="480" w:firstLineChars="200"/>
        <w:jc w:val="both"/>
        <w:rPr>
          <w:rStyle w:val="5"/>
          <w:rFonts w:hint="eastAsia" w:ascii="宋体" w:hAnsi="宋体" w:eastAsia="宋体" w:cs="宋体"/>
          <w:b w:val="0"/>
          <w:bCs/>
          <w:color w:val="000000"/>
          <w:lang w:val="en-US" w:eastAsia="zh-CN"/>
        </w:rPr>
      </w:pPr>
      <w:r>
        <w:rPr>
          <w:rFonts w:hint="eastAsia" w:ascii="宋体" w:hAnsi="宋体" w:eastAsia="宋体" w:cs="Times New Roman"/>
          <w:color w:val="0D0D0D"/>
          <w:kern w:val="2"/>
          <w:sz w:val="24"/>
          <w:szCs w:val="24"/>
          <w:lang w:eastAsia="zh-CN"/>
        </w:rPr>
        <w:t>“能量”单元围绕“能量守恒和转换”这个大概念来组织本单元的教学内容。本单元的设计，遵循小学生的年龄和学习特点，并没有从抽象的定义出发来演绎各种能量形式及其相互转换，而是从引导学生调查、统计、分析身边的能量表现形式人手，选择学生感兴趣、实践性强的电和磁为主要探究对象，深人浅出地展开对能量的形式与转换的探究认识。此外，教科书联系生活实际，对新能源开发和低碳环保生活方式等。</w:t>
      </w:r>
    </w:p>
    <w:p w14:paraId="1AB80663">
      <w:pPr>
        <w:shd w:val="clear" w:color="auto" w:fill="FFFFFF"/>
        <w:adjustRightInd/>
        <w:snapToGrid/>
        <w:spacing w:after="0" w:line="383" w:lineRule="atLeast"/>
        <w:ind w:firstLine="480"/>
        <w:rPr>
          <w:rFonts w:hint="eastAsia" w:ascii="宋体" w:hAnsi="宋体" w:eastAsia="宋体" w:cs="宋体"/>
          <w:b/>
          <w:bCs/>
          <w:color w:val="0D0D0D"/>
          <w:spacing w:val="8"/>
          <w:sz w:val="24"/>
          <w:szCs w:val="24"/>
        </w:rPr>
      </w:pPr>
      <w:r>
        <w:rPr>
          <w:rFonts w:hint="eastAsia" w:ascii="宋体" w:hAnsi="宋体" w:eastAsia="宋体" w:cs="宋体"/>
          <w:b/>
          <w:bCs/>
          <w:color w:val="0D0D0D"/>
          <w:spacing w:val="8"/>
          <w:sz w:val="24"/>
          <w:szCs w:val="24"/>
          <w:lang w:val="en-US" w:eastAsia="zh-CN"/>
        </w:rPr>
        <w:t>三</w:t>
      </w:r>
      <w:r>
        <w:rPr>
          <w:rFonts w:hint="eastAsia" w:ascii="宋体" w:hAnsi="宋体" w:eastAsia="宋体" w:cs="宋体"/>
          <w:b/>
          <w:bCs/>
          <w:color w:val="0D0D0D"/>
          <w:spacing w:val="8"/>
          <w:sz w:val="24"/>
          <w:szCs w:val="24"/>
        </w:rPr>
        <w:t>、具体教学方法和措施</w:t>
      </w:r>
    </w:p>
    <w:p w14:paraId="6AA4DBB3">
      <w:pPr>
        <w:widowControl w:val="0"/>
        <w:adjustRightInd/>
        <w:snapToGrid/>
        <w:spacing w:after="0" w:line="360" w:lineRule="auto"/>
        <w:ind w:firstLine="480" w:firstLineChars="200"/>
        <w:jc w:val="both"/>
        <w:rPr>
          <w:rFonts w:hint="eastAsia" w:ascii="宋体" w:hAnsi="宋体" w:eastAsia="宋体" w:cs="Times New Roman"/>
          <w:color w:val="0D0D0D"/>
          <w:kern w:val="2"/>
          <w:sz w:val="24"/>
          <w:szCs w:val="24"/>
          <w:lang w:eastAsia="zh-CN"/>
        </w:rPr>
      </w:pPr>
      <w:r>
        <w:rPr>
          <w:rFonts w:hint="eastAsia" w:ascii="宋体" w:hAnsi="宋体" w:eastAsia="宋体" w:cs="Times New Roman"/>
          <w:color w:val="0D0D0D"/>
          <w:kern w:val="2"/>
          <w:sz w:val="24"/>
          <w:szCs w:val="24"/>
          <w:lang w:eastAsia="zh-CN"/>
        </w:rPr>
        <w:t>1.培养学生科学的思维方法，努力发展学生解决问题的能力，使学生们在日常生活中亲近科学、运用科学，把科学转化为对自己日常生活的指导，逐渐养成科学的行为习惯和生活习惯。 </w:t>
      </w:r>
    </w:p>
    <w:p w14:paraId="5AA63AB6">
      <w:pPr>
        <w:widowControl w:val="0"/>
        <w:adjustRightInd/>
        <w:snapToGrid/>
        <w:spacing w:after="0" w:line="360" w:lineRule="auto"/>
        <w:ind w:firstLine="480" w:firstLineChars="200"/>
        <w:jc w:val="both"/>
        <w:rPr>
          <w:rFonts w:hint="eastAsia" w:ascii="宋体" w:hAnsi="宋体" w:eastAsia="宋体" w:cs="Times New Roman"/>
          <w:color w:val="0D0D0D"/>
          <w:kern w:val="2"/>
          <w:sz w:val="24"/>
          <w:szCs w:val="24"/>
          <w:lang w:eastAsia="zh-CN"/>
        </w:rPr>
      </w:pPr>
      <w:r>
        <w:rPr>
          <w:rFonts w:hint="eastAsia" w:ascii="宋体" w:hAnsi="宋体" w:eastAsia="宋体" w:cs="Times New Roman"/>
          <w:color w:val="0D0D0D"/>
          <w:kern w:val="2"/>
          <w:sz w:val="24"/>
          <w:szCs w:val="24"/>
          <w:lang w:eastAsia="zh-CN"/>
        </w:rPr>
        <w:t>2.了解科学探究的过程和方法，让学生亲身经历科学探究的全过程，从中获得科学知识，增长才干，体会科学探究的乐趣，理解科学的真谛，逐步学会科学地看问题、想问题。 </w:t>
      </w:r>
    </w:p>
    <w:p w14:paraId="27FD7B62">
      <w:pPr>
        <w:widowControl w:val="0"/>
        <w:adjustRightInd/>
        <w:snapToGrid/>
        <w:spacing w:after="0" w:line="360" w:lineRule="auto"/>
        <w:ind w:firstLine="480" w:firstLineChars="200"/>
        <w:jc w:val="both"/>
        <w:rPr>
          <w:rFonts w:hint="eastAsia" w:ascii="宋体" w:hAnsi="宋体" w:eastAsia="宋体" w:cs="Times New Roman"/>
          <w:color w:val="0D0D0D"/>
          <w:kern w:val="2"/>
          <w:sz w:val="24"/>
          <w:szCs w:val="24"/>
          <w:lang w:eastAsia="zh-CN"/>
        </w:rPr>
      </w:pPr>
      <w:r>
        <w:rPr>
          <w:rFonts w:hint="eastAsia" w:ascii="宋体" w:hAnsi="宋体" w:eastAsia="宋体" w:cs="Times New Roman"/>
          <w:color w:val="0D0D0D"/>
          <w:kern w:val="2"/>
          <w:sz w:val="24"/>
          <w:szCs w:val="24"/>
          <w:lang w:eastAsia="zh-CN"/>
        </w:rPr>
        <w:t>3.继续指导、引导学生学习运用假设，分析事物之间的因果关系，注重实验中的观察能力、采集数据，并对实验结果做出自己的解释，学习建立解释模型，以验证自己的假设。</w:t>
      </w:r>
    </w:p>
    <w:p w14:paraId="7A4E6227">
      <w:pPr>
        <w:widowControl w:val="0"/>
        <w:adjustRightInd/>
        <w:snapToGrid/>
        <w:spacing w:after="0" w:line="360" w:lineRule="auto"/>
        <w:ind w:firstLine="480" w:firstLineChars="200"/>
        <w:jc w:val="both"/>
        <w:rPr>
          <w:rFonts w:hint="eastAsia" w:ascii="宋体" w:hAnsi="宋体" w:eastAsia="宋体" w:cs="Times New Roman"/>
          <w:color w:val="0D0D0D"/>
          <w:kern w:val="2"/>
          <w:sz w:val="24"/>
          <w:szCs w:val="24"/>
          <w:lang w:eastAsia="zh-CN"/>
        </w:rPr>
      </w:pPr>
      <w:r>
        <w:rPr>
          <w:rFonts w:hint="eastAsia" w:ascii="宋体" w:hAnsi="宋体" w:eastAsia="宋体" w:cs="Times New Roman"/>
          <w:color w:val="0D0D0D"/>
          <w:kern w:val="2"/>
          <w:sz w:val="24"/>
          <w:szCs w:val="24"/>
          <w:lang w:eastAsia="zh-CN"/>
        </w:rPr>
        <w:t>4.培养学生亲近自然、欣赏自然、珍爱生命的意识，积极参与资源和环境的保护，关心现代科技的发展，使学生形成人与自然和谐相处的意识。</w:t>
      </w:r>
    </w:p>
    <w:p w14:paraId="6A3E929E">
      <w:pPr>
        <w:shd w:val="clear" w:color="auto" w:fill="FFFFFF"/>
        <w:adjustRightInd/>
        <w:snapToGrid/>
        <w:spacing w:after="0" w:line="383" w:lineRule="atLeast"/>
        <w:ind w:firstLine="480"/>
        <w:rPr>
          <w:rFonts w:hint="eastAsia" w:ascii="宋体" w:hAnsi="宋体" w:eastAsia="宋体" w:cs="宋体"/>
          <w:b/>
          <w:bCs/>
          <w:color w:val="0D0D0D"/>
          <w:spacing w:val="8"/>
          <w:sz w:val="24"/>
          <w:szCs w:val="24"/>
        </w:rPr>
      </w:pPr>
      <w:r>
        <w:rPr>
          <w:rFonts w:hint="eastAsia" w:ascii="宋体" w:hAnsi="宋体" w:eastAsia="宋体" w:cs="宋体"/>
          <w:b/>
          <w:bCs/>
          <w:color w:val="0D0D0D"/>
          <w:spacing w:val="8"/>
          <w:sz w:val="24"/>
          <w:szCs w:val="24"/>
          <w:lang w:val="en-US" w:eastAsia="zh-CN"/>
        </w:rPr>
        <w:t>四、</w:t>
      </w:r>
      <w:r>
        <w:rPr>
          <w:rFonts w:hint="eastAsia" w:ascii="宋体" w:hAnsi="宋体" w:eastAsia="宋体" w:cs="宋体"/>
          <w:b/>
          <w:bCs/>
          <w:color w:val="0D0D0D"/>
          <w:spacing w:val="8"/>
          <w:sz w:val="24"/>
          <w:szCs w:val="24"/>
        </w:rPr>
        <w:t>教学进度表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2"/>
        <w:gridCol w:w="1809"/>
        <w:gridCol w:w="3320"/>
        <w:gridCol w:w="2380"/>
      </w:tblGrid>
      <w:tr w14:paraId="689E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tcPr>
          <w:p w14:paraId="19D172FE">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周次</w:t>
            </w:r>
          </w:p>
        </w:tc>
        <w:tc>
          <w:tcPr>
            <w:tcW w:w="1809" w:type="dxa"/>
            <w:vAlign w:val="center"/>
          </w:tcPr>
          <w:p w14:paraId="50643449">
            <w:pPr>
              <w:widowControl w:val="0"/>
              <w:adjustRightInd/>
              <w:snapToGrid/>
              <w:spacing w:after="0" w:line="360" w:lineRule="auto"/>
              <w:ind w:left="110" w:leftChars="50"/>
              <w:jc w:val="center"/>
              <w:rPr>
                <w:rFonts w:hint="eastAsia" w:ascii="宋体" w:hAnsi="宋体" w:eastAsia="宋体" w:cs="宋体"/>
                <w:kern w:val="0"/>
                <w:sz w:val="24"/>
                <w:szCs w:val="24"/>
                <w:lang w:val="en-US" w:eastAsia="zh-CN"/>
              </w:rPr>
            </w:pPr>
            <w:r>
              <w:rPr>
                <w:rFonts w:ascii="宋体" w:hAnsi="宋体" w:eastAsia="宋体" w:cs="Times New Roman"/>
                <w:color w:val="0D0D0D"/>
                <w:kern w:val="2"/>
                <w:sz w:val="24"/>
                <w:szCs w:val="24"/>
              </w:rPr>
              <w:t>起止日期</w:t>
            </w:r>
          </w:p>
        </w:tc>
        <w:tc>
          <w:tcPr>
            <w:tcW w:w="3320" w:type="dxa"/>
          </w:tcPr>
          <w:p w14:paraId="6479291A">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预定教学内容</w:t>
            </w:r>
          </w:p>
        </w:tc>
        <w:tc>
          <w:tcPr>
            <w:tcW w:w="2380" w:type="dxa"/>
          </w:tcPr>
          <w:p w14:paraId="5F8ADDBA">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实际教学调整备注</w:t>
            </w:r>
          </w:p>
        </w:tc>
      </w:tr>
      <w:tr w14:paraId="7C8E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50049604">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p>
        </w:tc>
        <w:tc>
          <w:tcPr>
            <w:tcW w:w="1809" w:type="dxa"/>
            <w:vAlign w:val="center"/>
          </w:tcPr>
          <w:p w14:paraId="125A1326">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9.2-9.6</w:t>
            </w:r>
          </w:p>
        </w:tc>
        <w:tc>
          <w:tcPr>
            <w:tcW w:w="3320" w:type="dxa"/>
          </w:tcPr>
          <w:p w14:paraId="5C261491">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始业教育课</w:t>
            </w:r>
          </w:p>
          <w:p w14:paraId="1F2AFE62">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1.1放大镜</w:t>
            </w:r>
          </w:p>
          <w:p w14:paraId="141FD74C">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1.2怎样放得更大</w:t>
            </w:r>
          </w:p>
        </w:tc>
        <w:tc>
          <w:tcPr>
            <w:tcW w:w="2380" w:type="dxa"/>
          </w:tcPr>
          <w:p w14:paraId="3999B503">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72FC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3BD1B6E2">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p>
        </w:tc>
        <w:tc>
          <w:tcPr>
            <w:tcW w:w="1809" w:type="dxa"/>
            <w:vAlign w:val="center"/>
          </w:tcPr>
          <w:p w14:paraId="5AFB80D7">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9.9-9.14</w:t>
            </w:r>
          </w:p>
        </w:tc>
        <w:tc>
          <w:tcPr>
            <w:tcW w:w="3320" w:type="dxa"/>
          </w:tcPr>
          <w:p w14:paraId="1C5FFB07">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机动</w:t>
            </w:r>
          </w:p>
          <w:p w14:paraId="3880516F">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1.3观察身边微小的物体</w:t>
            </w:r>
          </w:p>
          <w:p w14:paraId="7D6D735B">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1.4观察洋葱表皮细胞</w:t>
            </w:r>
          </w:p>
          <w:p w14:paraId="3207C29F">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1.5观察更多的生物细胞</w:t>
            </w:r>
          </w:p>
        </w:tc>
        <w:tc>
          <w:tcPr>
            <w:tcW w:w="2380" w:type="dxa"/>
          </w:tcPr>
          <w:p w14:paraId="7F99C7DC">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7303E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5B46B77D">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w:t>
            </w:r>
          </w:p>
        </w:tc>
        <w:tc>
          <w:tcPr>
            <w:tcW w:w="1809" w:type="dxa"/>
            <w:vAlign w:val="center"/>
          </w:tcPr>
          <w:p w14:paraId="45FECEB7">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9.18-9.20</w:t>
            </w:r>
          </w:p>
        </w:tc>
        <w:tc>
          <w:tcPr>
            <w:tcW w:w="3320" w:type="dxa"/>
          </w:tcPr>
          <w:p w14:paraId="2BF3645D">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1.6观察水中的微小生物</w:t>
            </w:r>
          </w:p>
          <w:p w14:paraId="488EE186">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1.7微生物与健康</w:t>
            </w:r>
          </w:p>
          <w:p w14:paraId="059EA2F5">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第一单元复习</w:t>
            </w:r>
          </w:p>
        </w:tc>
        <w:tc>
          <w:tcPr>
            <w:tcW w:w="2380" w:type="dxa"/>
          </w:tcPr>
          <w:p w14:paraId="65BD35A7">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7086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1B6C2BD0">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w:t>
            </w:r>
          </w:p>
        </w:tc>
        <w:tc>
          <w:tcPr>
            <w:tcW w:w="1809" w:type="dxa"/>
            <w:vAlign w:val="center"/>
          </w:tcPr>
          <w:p w14:paraId="452171DC">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9.23-9.27</w:t>
            </w:r>
          </w:p>
        </w:tc>
        <w:tc>
          <w:tcPr>
            <w:tcW w:w="3320" w:type="dxa"/>
          </w:tcPr>
          <w:p w14:paraId="2022CC21">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第一单元形成性练习</w:t>
            </w:r>
          </w:p>
          <w:p w14:paraId="6C77C87C">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机动</w:t>
            </w:r>
          </w:p>
          <w:p w14:paraId="0A224FFB">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2.1我们的地球模型</w:t>
            </w:r>
          </w:p>
        </w:tc>
        <w:tc>
          <w:tcPr>
            <w:tcW w:w="2380" w:type="dxa"/>
          </w:tcPr>
          <w:p w14:paraId="6BE42C6E">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4CFB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1C760127">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w:t>
            </w:r>
          </w:p>
        </w:tc>
        <w:tc>
          <w:tcPr>
            <w:tcW w:w="1809" w:type="dxa"/>
            <w:vAlign w:val="center"/>
          </w:tcPr>
          <w:p w14:paraId="00BE6C59">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10.8-10.12</w:t>
            </w:r>
          </w:p>
        </w:tc>
        <w:tc>
          <w:tcPr>
            <w:tcW w:w="3320" w:type="dxa"/>
          </w:tcPr>
          <w:p w14:paraId="163FD62A">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2.2昼夜交替现象</w:t>
            </w:r>
          </w:p>
          <w:p w14:paraId="1E57641C">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2.3人类认识地球运动的历史2.4谁先迎来黎明</w:t>
            </w:r>
          </w:p>
        </w:tc>
        <w:tc>
          <w:tcPr>
            <w:tcW w:w="2380" w:type="dxa"/>
          </w:tcPr>
          <w:p w14:paraId="3CAB8A5B">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75C9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438BE3BA">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w:t>
            </w:r>
          </w:p>
        </w:tc>
        <w:tc>
          <w:tcPr>
            <w:tcW w:w="1809" w:type="dxa"/>
            <w:vAlign w:val="center"/>
          </w:tcPr>
          <w:p w14:paraId="268FBC65">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10.14-10.18</w:t>
            </w:r>
          </w:p>
        </w:tc>
        <w:tc>
          <w:tcPr>
            <w:tcW w:w="3320" w:type="dxa"/>
          </w:tcPr>
          <w:p w14:paraId="20AC9ED2">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2.5影长的四季变化</w:t>
            </w:r>
          </w:p>
          <w:p w14:paraId="4EDFADE9">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2.6地球的公转与四季变化</w:t>
            </w:r>
          </w:p>
          <w:p w14:paraId="1BCBAA74">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2.7昼夜和四季变化对生物的影响</w:t>
            </w:r>
          </w:p>
        </w:tc>
        <w:tc>
          <w:tcPr>
            <w:tcW w:w="2380" w:type="dxa"/>
          </w:tcPr>
          <w:p w14:paraId="22715AB7">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0DDC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1522C4CC">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w:t>
            </w:r>
          </w:p>
        </w:tc>
        <w:tc>
          <w:tcPr>
            <w:tcW w:w="1809" w:type="dxa"/>
            <w:vAlign w:val="center"/>
          </w:tcPr>
          <w:p w14:paraId="2C56E6D0">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10.21-10.25</w:t>
            </w:r>
          </w:p>
        </w:tc>
        <w:tc>
          <w:tcPr>
            <w:tcW w:w="3320" w:type="dxa"/>
          </w:tcPr>
          <w:p w14:paraId="4D4B9080">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复习</w:t>
            </w:r>
          </w:p>
          <w:p w14:paraId="43CB86BC">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期中专项练习</w:t>
            </w:r>
          </w:p>
          <w:p w14:paraId="5F126304">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机动</w:t>
            </w:r>
          </w:p>
        </w:tc>
        <w:tc>
          <w:tcPr>
            <w:tcW w:w="2380" w:type="dxa"/>
          </w:tcPr>
          <w:p w14:paraId="305AFA2A">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208BC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4606A9A4">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w:t>
            </w:r>
          </w:p>
        </w:tc>
        <w:tc>
          <w:tcPr>
            <w:tcW w:w="1809" w:type="dxa"/>
            <w:vAlign w:val="center"/>
          </w:tcPr>
          <w:p w14:paraId="347489AB">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10.28-11.1</w:t>
            </w:r>
          </w:p>
        </w:tc>
        <w:tc>
          <w:tcPr>
            <w:tcW w:w="3320" w:type="dxa"/>
          </w:tcPr>
          <w:p w14:paraId="73ED3864">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3.1紧密联系的工具和技术</w:t>
            </w:r>
          </w:p>
          <w:p w14:paraId="2C788F6B">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3.2斜面</w:t>
            </w:r>
          </w:p>
          <w:p w14:paraId="6A481F2E">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3.3不简单的杠杆</w:t>
            </w:r>
          </w:p>
        </w:tc>
        <w:tc>
          <w:tcPr>
            <w:tcW w:w="2380" w:type="dxa"/>
          </w:tcPr>
          <w:p w14:paraId="23AF126D">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4D26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282294A0">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w:t>
            </w:r>
          </w:p>
        </w:tc>
        <w:tc>
          <w:tcPr>
            <w:tcW w:w="1809" w:type="dxa"/>
            <w:vAlign w:val="center"/>
          </w:tcPr>
          <w:p w14:paraId="367C2C59">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11.4-11.8</w:t>
            </w:r>
          </w:p>
        </w:tc>
        <w:tc>
          <w:tcPr>
            <w:tcW w:w="3320" w:type="dxa"/>
          </w:tcPr>
          <w:p w14:paraId="090F9988">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3.4改变运输的车轮</w:t>
            </w:r>
          </w:p>
          <w:p w14:paraId="7E09C591">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3.5灵活巧妙的剪刀</w:t>
            </w:r>
          </w:p>
          <w:p w14:paraId="5CE5A7F0">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3.6推动社会发展的印刷术</w:t>
            </w:r>
          </w:p>
        </w:tc>
        <w:tc>
          <w:tcPr>
            <w:tcW w:w="2380" w:type="dxa"/>
          </w:tcPr>
          <w:p w14:paraId="2516A84D">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716D6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7B6FC595">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11</w:t>
            </w:r>
          </w:p>
        </w:tc>
        <w:tc>
          <w:tcPr>
            <w:tcW w:w="1809" w:type="dxa"/>
            <w:vAlign w:val="center"/>
          </w:tcPr>
          <w:p w14:paraId="5B8EDDF7">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11.11-11.15</w:t>
            </w:r>
          </w:p>
        </w:tc>
        <w:tc>
          <w:tcPr>
            <w:tcW w:w="3320" w:type="dxa"/>
          </w:tcPr>
          <w:p w14:paraId="62CFB379">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3.7信息的交流传播</w:t>
            </w:r>
          </w:p>
          <w:p w14:paraId="1A140A04">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三单元复习</w:t>
            </w:r>
          </w:p>
          <w:p w14:paraId="675DB103">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第三单元形成性练习</w:t>
            </w:r>
          </w:p>
        </w:tc>
        <w:tc>
          <w:tcPr>
            <w:tcW w:w="2380" w:type="dxa"/>
          </w:tcPr>
          <w:p w14:paraId="01EE5139">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6D3A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4BE8BE54">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w:t>
            </w:r>
          </w:p>
        </w:tc>
        <w:tc>
          <w:tcPr>
            <w:tcW w:w="1809" w:type="dxa"/>
            <w:vAlign w:val="center"/>
          </w:tcPr>
          <w:p w14:paraId="31D7480D">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11.18-11.22</w:t>
            </w:r>
          </w:p>
        </w:tc>
        <w:tc>
          <w:tcPr>
            <w:tcW w:w="3320" w:type="dxa"/>
          </w:tcPr>
          <w:p w14:paraId="693429E5">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机动</w:t>
            </w:r>
          </w:p>
          <w:p w14:paraId="4E0BB891">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4.1各种形式的能量</w:t>
            </w:r>
          </w:p>
          <w:p w14:paraId="5B252CFC">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4.2调查家中使用的能量</w:t>
            </w:r>
          </w:p>
        </w:tc>
        <w:tc>
          <w:tcPr>
            <w:tcW w:w="2380" w:type="dxa"/>
          </w:tcPr>
          <w:p w14:paraId="3390F5C0">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3BAE9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2B2675F6">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13</w:t>
            </w:r>
          </w:p>
        </w:tc>
        <w:tc>
          <w:tcPr>
            <w:tcW w:w="1809" w:type="dxa"/>
            <w:vAlign w:val="center"/>
          </w:tcPr>
          <w:p w14:paraId="4F538F69">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11.25-11.29</w:t>
            </w:r>
          </w:p>
        </w:tc>
        <w:tc>
          <w:tcPr>
            <w:tcW w:w="3320" w:type="dxa"/>
          </w:tcPr>
          <w:p w14:paraId="314B569F">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4.3电和磁</w:t>
            </w:r>
          </w:p>
          <w:p w14:paraId="40A015AB">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4.4电能和磁能</w:t>
            </w:r>
          </w:p>
          <w:p w14:paraId="6C09108A">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4.5电磁铁</w:t>
            </w:r>
          </w:p>
        </w:tc>
        <w:tc>
          <w:tcPr>
            <w:tcW w:w="2380" w:type="dxa"/>
          </w:tcPr>
          <w:p w14:paraId="6F2F788A">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6F625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3EADAD22">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w:t>
            </w:r>
          </w:p>
        </w:tc>
        <w:tc>
          <w:tcPr>
            <w:tcW w:w="1809" w:type="dxa"/>
            <w:vAlign w:val="center"/>
          </w:tcPr>
          <w:p w14:paraId="334E6E00">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12.2-12.6</w:t>
            </w:r>
          </w:p>
        </w:tc>
        <w:tc>
          <w:tcPr>
            <w:tcW w:w="3320" w:type="dxa"/>
          </w:tcPr>
          <w:p w14:paraId="07446C04">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4.6神奇的小电动机</w:t>
            </w:r>
          </w:p>
          <w:p w14:paraId="259F8F97">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4.7能量从哪里来</w:t>
            </w:r>
          </w:p>
          <w:p w14:paraId="5247BB32">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四单元复习</w:t>
            </w:r>
          </w:p>
        </w:tc>
        <w:tc>
          <w:tcPr>
            <w:tcW w:w="2380" w:type="dxa"/>
          </w:tcPr>
          <w:p w14:paraId="0956914A">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1004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47A12ED7">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w:t>
            </w:r>
          </w:p>
        </w:tc>
        <w:tc>
          <w:tcPr>
            <w:tcW w:w="1809" w:type="dxa"/>
            <w:vAlign w:val="center"/>
          </w:tcPr>
          <w:p w14:paraId="12ECFFAC">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12.9-12.13</w:t>
            </w:r>
          </w:p>
        </w:tc>
        <w:tc>
          <w:tcPr>
            <w:tcW w:w="3320" w:type="dxa"/>
          </w:tcPr>
          <w:p w14:paraId="7B31AED6">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第四单元形成性练习</w:t>
            </w:r>
          </w:p>
          <w:p w14:paraId="4CE6FBC7">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机动</w:t>
            </w:r>
          </w:p>
          <w:p w14:paraId="7244FC4E">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总复习1</w:t>
            </w:r>
          </w:p>
        </w:tc>
        <w:tc>
          <w:tcPr>
            <w:tcW w:w="2380" w:type="dxa"/>
          </w:tcPr>
          <w:p w14:paraId="37DC1CEC">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68D5D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01F0000F">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16</w:t>
            </w:r>
          </w:p>
        </w:tc>
        <w:tc>
          <w:tcPr>
            <w:tcW w:w="1809" w:type="dxa"/>
            <w:vAlign w:val="center"/>
          </w:tcPr>
          <w:p w14:paraId="6062671C">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12.16-12.20</w:t>
            </w:r>
          </w:p>
        </w:tc>
        <w:tc>
          <w:tcPr>
            <w:tcW w:w="3320" w:type="dxa"/>
          </w:tcPr>
          <w:p w14:paraId="3BB6092A">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总复习2</w:t>
            </w:r>
          </w:p>
          <w:p w14:paraId="666B116D">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b w:val="0"/>
                <w:bCs/>
                <w:sz w:val="24"/>
                <w:szCs w:val="24"/>
                <w:lang w:val="en-US" w:eastAsia="zh-CN"/>
              </w:rPr>
            </w:pPr>
            <w:r>
              <w:rPr>
                <w:rFonts w:hint="eastAsia" w:ascii="宋体" w:hAnsi="宋体" w:eastAsia="宋体"/>
                <w:b w:val="0"/>
                <w:bCs/>
                <w:sz w:val="24"/>
                <w:szCs w:val="24"/>
                <w:lang w:val="en-US" w:eastAsia="zh-CN"/>
              </w:rPr>
              <w:t>总复习3</w:t>
            </w:r>
          </w:p>
          <w:p w14:paraId="51892F8C">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机动</w:t>
            </w:r>
            <w:bookmarkStart w:id="0" w:name="_GoBack"/>
            <w:bookmarkEnd w:id="0"/>
          </w:p>
        </w:tc>
        <w:tc>
          <w:tcPr>
            <w:tcW w:w="2380" w:type="dxa"/>
          </w:tcPr>
          <w:p w14:paraId="4E7AA054">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65B7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32D1365A">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17</w:t>
            </w:r>
          </w:p>
        </w:tc>
        <w:tc>
          <w:tcPr>
            <w:tcW w:w="1809" w:type="dxa"/>
            <w:vAlign w:val="center"/>
          </w:tcPr>
          <w:p w14:paraId="392DFF38">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12.23-12.27</w:t>
            </w:r>
          </w:p>
        </w:tc>
        <w:tc>
          <w:tcPr>
            <w:tcW w:w="3320" w:type="dxa"/>
          </w:tcPr>
          <w:p w14:paraId="0057BF4D">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b w:val="0"/>
                <w:bCs/>
                <w:sz w:val="24"/>
                <w:szCs w:val="24"/>
                <w:lang w:val="en-US" w:eastAsia="zh-CN"/>
              </w:rPr>
            </w:pPr>
            <w:r>
              <w:rPr>
                <w:rFonts w:hint="eastAsia" w:ascii="宋体" w:hAnsi="宋体" w:eastAsia="宋体"/>
                <w:b w:val="0"/>
                <w:bCs/>
                <w:sz w:val="24"/>
                <w:szCs w:val="24"/>
                <w:lang w:val="en-US" w:eastAsia="zh-CN"/>
              </w:rPr>
              <w:t>总复习4</w:t>
            </w:r>
          </w:p>
          <w:p w14:paraId="437B8317">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b w:val="0"/>
                <w:bCs/>
                <w:sz w:val="24"/>
                <w:szCs w:val="24"/>
                <w:lang w:val="en-US" w:eastAsia="zh-CN"/>
              </w:rPr>
            </w:pPr>
            <w:r>
              <w:rPr>
                <w:rFonts w:hint="eastAsia" w:ascii="宋体" w:hAnsi="宋体" w:eastAsia="宋体"/>
                <w:b w:val="0"/>
                <w:bCs/>
                <w:sz w:val="24"/>
                <w:szCs w:val="24"/>
                <w:lang w:val="en-US" w:eastAsia="zh-CN"/>
              </w:rPr>
              <w:t>期末模拟练习1</w:t>
            </w:r>
          </w:p>
          <w:p w14:paraId="4331BD8E">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b w:val="0"/>
                <w:bCs/>
                <w:sz w:val="24"/>
                <w:szCs w:val="24"/>
                <w:lang w:val="en-US" w:eastAsia="zh-CN"/>
              </w:rPr>
              <w:t>讲评</w:t>
            </w:r>
          </w:p>
        </w:tc>
        <w:tc>
          <w:tcPr>
            <w:tcW w:w="2380" w:type="dxa"/>
          </w:tcPr>
          <w:p w14:paraId="7A6A553A">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320E4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1C838F70">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18</w:t>
            </w:r>
          </w:p>
        </w:tc>
        <w:tc>
          <w:tcPr>
            <w:tcW w:w="1809" w:type="dxa"/>
            <w:vAlign w:val="center"/>
          </w:tcPr>
          <w:p w14:paraId="36E6DB4A">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12.30-1.3</w:t>
            </w:r>
          </w:p>
        </w:tc>
        <w:tc>
          <w:tcPr>
            <w:tcW w:w="3320" w:type="dxa"/>
          </w:tcPr>
          <w:p w14:paraId="224E0222">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b w:val="0"/>
                <w:bCs/>
                <w:sz w:val="24"/>
                <w:szCs w:val="24"/>
                <w:lang w:val="en-US" w:eastAsia="zh-CN"/>
              </w:rPr>
            </w:pPr>
            <w:r>
              <w:rPr>
                <w:rFonts w:hint="eastAsia" w:ascii="宋体" w:hAnsi="宋体" w:eastAsia="宋体"/>
                <w:b w:val="0"/>
                <w:bCs/>
                <w:sz w:val="24"/>
                <w:szCs w:val="24"/>
                <w:lang w:val="en-US" w:eastAsia="zh-CN"/>
              </w:rPr>
              <w:t>实践应用测评</w:t>
            </w:r>
          </w:p>
          <w:p w14:paraId="23D78545">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b w:val="0"/>
                <w:bCs/>
                <w:sz w:val="24"/>
                <w:szCs w:val="24"/>
                <w:lang w:val="en-US" w:eastAsia="zh-CN"/>
              </w:rPr>
              <w:t>自评</w:t>
            </w:r>
          </w:p>
        </w:tc>
        <w:tc>
          <w:tcPr>
            <w:tcW w:w="2380" w:type="dxa"/>
          </w:tcPr>
          <w:p w14:paraId="14A1BE5C">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69C4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6E6213E2">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19</w:t>
            </w:r>
          </w:p>
        </w:tc>
        <w:tc>
          <w:tcPr>
            <w:tcW w:w="1809" w:type="dxa"/>
            <w:vAlign w:val="center"/>
          </w:tcPr>
          <w:p w14:paraId="44E07E04">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1.6-1.10</w:t>
            </w:r>
          </w:p>
        </w:tc>
        <w:tc>
          <w:tcPr>
            <w:tcW w:w="3320" w:type="dxa"/>
          </w:tcPr>
          <w:p w14:paraId="75EE06F1">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b w:val="0"/>
                <w:bCs/>
                <w:sz w:val="24"/>
                <w:szCs w:val="24"/>
                <w:lang w:val="en-US" w:eastAsia="zh-CN"/>
              </w:rPr>
            </w:pPr>
            <w:r>
              <w:rPr>
                <w:rFonts w:hint="eastAsia" w:ascii="宋体" w:hAnsi="宋体" w:eastAsia="宋体"/>
                <w:b w:val="0"/>
                <w:bCs/>
                <w:sz w:val="24"/>
                <w:szCs w:val="24"/>
                <w:lang w:val="en-US" w:eastAsia="zh-CN"/>
              </w:rPr>
              <w:t>模拟练习2</w:t>
            </w:r>
          </w:p>
          <w:p w14:paraId="45A140B4">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b w:val="0"/>
                <w:bCs/>
                <w:sz w:val="24"/>
                <w:szCs w:val="24"/>
                <w:lang w:val="en-US" w:eastAsia="zh-CN"/>
              </w:rPr>
            </w:pPr>
            <w:r>
              <w:rPr>
                <w:rFonts w:hint="eastAsia" w:ascii="宋体" w:hAnsi="宋体" w:eastAsia="宋体"/>
                <w:b w:val="0"/>
                <w:bCs/>
                <w:sz w:val="24"/>
                <w:szCs w:val="24"/>
                <w:lang w:val="en-US" w:eastAsia="zh-CN"/>
              </w:rPr>
              <w:t>讲评</w:t>
            </w:r>
          </w:p>
          <w:p w14:paraId="3DBB120E">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default" w:ascii="宋体" w:hAnsi="宋体" w:eastAsia="宋体" w:cs="宋体"/>
                <w:kern w:val="0"/>
                <w:sz w:val="24"/>
                <w:szCs w:val="24"/>
                <w:lang w:val="en-US" w:eastAsia="zh-CN"/>
              </w:rPr>
            </w:pPr>
            <w:r>
              <w:rPr>
                <w:rFonts w:hint="eastAsia" w:ascii="宋体" w:hAnsi="宋体" w:eastAsia="宋体"/>
                <w:b w:val="0"/>
                <w:bCs/>
                <w:sz w:val="24"/>
                <w:szCs w:val="24"/>
                <w:lang w:val="en-US" w:eastAsia="zh-CN"/>
              </w:rPr>
              <w:t>期末考查</w:t>
            </w:r>
          </w:p>
        </w:tc>
        <w:tc>
          <w:tcPr>
            <w:tcW w:w="2380" w:type="dxa"/>
          </w:tcPr>
          <w:p w14:paraId="2AB6280D">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r w14:paraId="5936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vAlign w:val="center"/>
          </w:tcPr>
          <w:p w14:paraId="03165189">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w:t>
            </w:r>
          </w:p>
        </w:tc>
        <w:tc>
          <w:tcPr>
            <w:tcW w:w="1809" w:type="dxa"/>
            <w:vAlign w:val="center"/>
          </w:tcPr>
          <w:p w14:paraId="5CD297EC">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1.13-1.17</w:t>
            </w:r>
          </w:p>
        </w:tc>
        <w:tc>
          <w:tcPr>
            <w:tcW w:w="3320" w:type="dxa"/>
          </w:tcPr>
          <w:p w14:paraId="506B033D">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b w:val="0"/>
                <w:bCs/>
                <w:sz w:val="24"/>
                <w:szCs w:val="24"/>
                <w:lang w:val="en-US" w:eastAsia="zh-CN"/>
              </w:rPr>
              <w:t>学期分项等级成绩反馈</w:t>
            </w:r>
          </w:p>
        </w:tc>
        <w:tc>
          <w:tcPr>
            <w:tcW w:w="2380" w:type="dxa"/>
          </w:tcPr>
          <w:p w14:paraId="4D1AB315">
            <w:pPr>
              <w:keepNext w:val="0"/>
              <w:keepLines w:val="0"/>
              <w:pageBreakBefore w:val="0"/>
              <w:widowControl/>
              <w:kinsoku/>
              <w:wordWrap w:val="0"/>
              <w:overflowPunct/>
              <w:topLinePunct w:val="0"/>
              <w:autoSpaceDE/>
              <w:autoSpaceDN/>
              <w:bidi w:val="0"/>
              <w:adjustRightInd w:val="0"/>
              <w:snapToGrid w:val="0"/>
              <w:spacing w:after="0" w:line="240" w:lineRule="auto"/>
              <w:jc w:val="center"/>
              <w:textAlignment w:val="auto"/>
              <w:rPr>
                <w:rFonts w:hint="eastAsia" w:ascii="宋体" w:hAnsi="宋体" w:eastAsia="宋体" w:cs="宋体"/>
                <w:kern w:val="0"/>
                <w:sz w:val="24"/>
                <w:szCs w:val="24"/>
                <w:lang w:val="en-US" w:eastAsia="zh-CN"/>
              </w:rPr>
            </w:pPr>
          </w:p>
        </w:tc>
      </w:tr>
    </w:tbl>
    <w:p w14:paraId="094EBB02">
      <w:pPr>
        <w:keepNext w:val="0"/>
        <w:keepLines w:val="0"/>
        <w:pageBreakBefore w:val="0"/>
        <w:widowControl/>
        <w:numPr>
          <w:ilvl w:val="0"/>
          <w:numId w:val="0"/>
        </w:numPr>
        <w:kinsoku/>
        <w:wordWrap/>
        <w:overflowPunct/>
        <w:topLinePunct w:val="0"/>
        <w:autoSpaceDE/>
        <w:autoSpaceDN/>
        <w:bidi w:val="0"/>
        <w:adjustRightInd w:val="0"/>
        <w:spacing w:after="0" w:line="360" w:lineRule="auto"/>
        <w:jc w:val="left"/>
        <w:rPr>
          <w:rFonts w:hint="eastAsia" w:ascii="宋体" w:hAnsi="宋体" w:eastAsia="宋体" w:cs="宋体"/>
          <w:b/>
          <w:color w:val="0D0D0D"/>
          <w:sz w:val="24"/>
          <w:lang w:val="en-US" w:eastAsia="zh-CN"/>
        </w:rPr>
      </w:pPr>
    </w:p>
    <w:p w14:paraId="4693C67B">
      <w:pPr>
        <w:keepNext w:val="0"/>
        <w:keepLines w:val="0"/>
        <w:pageBreakBefore w:val="0"/>
        <w:widowControl/>
        <w:numPr>
          <w:ilvl w:val="0"/>
          <w:numId w:val="0"/>
        </w:numPr>
        <w:kinsoku/>
        <w:wordWrap/>
        <w:overflowPunct/>
        <w:topLinePunct w:val="0"/>
        <w:autoSpaceDE/>
        <w:autoSpaceDN/>
        <w:bidi w:val="0"/>
        <w:adjustRightInd w:val="0"/>
        <w:spacing w:after="0" w:line="360" w:lineRule="auto"/>
        <w:jc w:val="left"/>
        <w:rPr>
          <w:rFonts w:hint="eastAsia" w:ascii="宋体" w:hAnsi="宋体" w:eastAsia="宋体" w:cs="宋体"/>
          <w:b/>
          <w:color w:val="0D0D0D"/>
          <w:sz w:val="24"/>
          <w:lang w:val="en-US" w:eastAsia="zh-CN"/>
        </w:rPr>
      </w:pPr>
      <w:r>
        <w:rPr>
          <w:rFonts w:hint="eastAsia" w:ascii="宋体" w:hAnsi="宋体" w:eastAsia="宋体" w:cs="宋体"/>
          <w:b/>
          <w:color w:val="0D0D0D"/>
          <w:sz w:val="24"/>
          <w:lang w:val="en-US" w:eastAsia="zh-CN"/>
        </w:rPr>
        <w:t>五、学困生名单</w:t>
      </w:r>
    </w:p>
    <w:p w14:paraId="18E0AAC3">
      <w:pPr>
        <w:keepNext w:val="0"/>
        <w:keepLines w:val="0"/>
        <w:pageBreakBefore w:val="0"/>
        <w:widowControl/>
        <w:numPr>
          <w:ilvl w:val="0"/>
          <w:numId w:val="0"/>
        </w:numPr>
        <w:kinsoku/>
        <w:wordWrap/>
        <w:overflowPunct/>
        <w:topLinePunct w:val="0"/>
        <w:autoSpaceDE/>
        <w:autoSpaceDN/>
        <w:bidi w:val="0"/>
        <w:adjustRightInd w:val="0"/>
        <w:spacing w:after="0" w:line="360" w:lineRule="auto"/>
        <w:ind w:firstLine="241" w:firstLineChars="100"/>
        <w:jc w:val="left"/>
        <w:rPr>
          <w:rFonts w:hint="eastAsia" w:ascii="宋体" w:hAnsi="宋体" w:eastAsia="宋体" w:cs="宋体"/>
          <w:b/>
          <w:color w:val="0D0D0D"/>
          <w:sz w:val="24"/>
          <w:lang w:val="en-US" w:eastAsia="zh-CN"/>
        </w:rPr>
      </w:pPr>
      <w:r>
        <w:rPr>
          <w:rFonts w:hint="eastAsia" w:ascii="宋体" w:hAnsi="宋体" w:eastAsia="宋体" w:cs="宋体"/>
          <w:b/>
          <w:color w:val="0D0D0D"/>
          <w:sz w:val="24"/>
          <w:lang w:val="en-US" w:eastAsia="zh-CN"/>
        </w:rPr>
        <w:t>601：</w:t>
      </w:r>
    </w:p>
    <w:p w14:paraId="3FC3FF8F">
      <w:pPr>
        <w:keepNext w:val="0"/>
        <w:keepLines w:val="0"/>
        <w:pageBreakBefore w:val="0"/>
        <w:widowControl/>
        <w:numPr>
          <w:ilvl w:val="0"/>
          <w:numId w:val="0"/>
        </w:numPr>
        <w:kinsoku/>
        <w:wordWrap/>
        <w:overflowPunct/>
        <w:topLinePunct w:val="0"/>
        <w:autoSpaceDE/>
        <w:autoSpaceDN/>
        <w:bidi w:val="0"/>
        <w:adjustRightInd w:val="0"/>
        <w:spacing w:after="0" w:line="360" w:lineRule="auto"/>
        <w:ind w:firstLine="241" w:firstLineChars="100"/>
        <w:jc w:val="left"/>
        <w:rPr>
          <w:rFonts w:hint="eastAsia" w:ascii="宋体" w:hAnsi="宋体" w:eastAsia="宋体" w:cs="宋体"/>
          <w:b/>
          <w:color w:val="0D0D0D"/>
          <w:sz w:val="24"/>
          <w:lang w:val="en-US" w:eastAsia="zh-CN"/>
        </w:rPr>
      </w:pPr>
      <w:r>
        <w:rPr>
          <w:rFonts w:hint="eastAsia" w:ascii="宋体" w:hAnsi="宋体" w:eastAsia="宋体" w:cs="宋体"/>
          <w:b/>
          <w:color w:val="0D0D0D"/>
          <w:sz w:val="24"/>
          <w:lang w:val="en-US" w:eastAsia="zh-CN"/>
        </w:rPr>
        <w:t>602：</w:t>
      </w:r>
    </w:p>
    <w:p w14:paraId="5E8B470D">
      <w:pPr>
        <w:keepNext w:val="0"/>
        <w:keepLines w:val="0"/>
        <w:pageBreakBefore w:val="0"/>
        <w:widowControl/>
        <w:numPr>
          <w:ilvl w:val="0"/>
          <w:numId w:val="0"/>
        </w:numPr>
        <w:kinsoku/>
        <w:wordWrap/>
        <w:overflowPunct/>
        <w:topLinePunct w:val="0"/>
        <w:autoSpaceDE/>
        <w:autoSpaceDN/>
        <w:bidi w:val="0"/>
        <w:adjustRightInd w:val="0"/>
        <w:spacing w:after="0" w:line="360" w:lineRule="auto"/>
        <w:ind w:firstLine="241" w:firstLineChars="100"/>
        <w:jc w:val="left"/>
        <w:rPr>
          <w:rFonts w:hint="eastAsia" w:ascii="宋体" w:hAnsi="宋体" w:eastAsia="宋体" w:cs="宋体"/>
          <w:b/>
          <w:color w:val="0D0D0D"/>
          <w:sz w:val="24"/>
          <w:lang w:val="en-US" w:eastAsia="zh-CN"/>
        </w:rPr>
      </w:pPr>
      <w:r>
        <w:rPr>
          <w:rFonts w:hint="eastAsia" w:ascii="宋体" w:hAnsi="宋体" w:eastAsia="宋体" w:cs="宋体"/>
          <w:b/>
          <w:color w:val="0D0D0D"/>
          <w:sz w:val="24"/>
          <w:lang w:val="en-US" w:eastAsia="zh-CN"/>
        </w:rPr>
        <w:t>603：</w:t>
      </w:r>
    </w:p>
    <w:p w14:paraId="47B9FF4E">
      <w:pPr>
        <w:keepNext w:val="0"/>
        <w:keepLines w:val="0"/>
        <w:pageBreakBefore w:val="0"/>
        <w:widowControl/>
        <w:numPr>
          <w:ilvl w:val="0"/>
          <w:numId w:val="0"/>
        </w:numPr>
        <w:kinsoku/>
        <w:wordWrap/>
        <w:overflowPunct/>
        <w:topLinePunct w:val="0"/>
        <w:autoSpaceDE/>
        <w:autoSpaceDN/>
        <w:bidi w:val="0"/>
        <w:adjustRightInd w:val="0"/>
        <w:spacing w:after="0" w:line="360" w:lineRule="auto"/>
        <w:ind w:firstLine="241" w:firstLineChars="100"/>
        <w:jc w:val="left"/>
        <w:rPr>
          <w:rFonts w:hint="default" w:ascii="宋体" w:hAnsi="宋体" w:eastAsia="宋体" w:cs="宋体"/>
          <w:b/>
          <w:color w:val="0D0D0D"/>
          <w:sz w:val="24"/>
          <w:lang w:val="en-US" w:eastAsia="zh-CN"/>
        </w:rPr>
      </w:pPr>
      <w:r>
        <w:rPr>
          <w:rFonts w:hint="eastAsia" w:ascii="宋体" w:hAnsi="宋体" w:eastAsia="宋体" w:cs="宋体"/>
          <w:b/>
          <w:color w:val="0D0D0D"/>
          <w:sz w:val="24"/>
          <w:lang w:val="en-US" w:eastAsia="zh-CN"/>
        </w:rPr>
        <w:t>604：</w:t>
      </w:r>
    </w:p>
    <w:p w14:paraId="0B47F356">
      <w:pPr>
        <w:keepNext w:val="0"/>
        <w:keepLines w:val="0"/>
        <w:pageBreakBefore w:val="0"/>
        <w:widowControl/>
        <w:numPr>
          <w:ilvl w:val="0"/>
          <w:numId w:val="0"/>
        </w:numPr>
        <w:kinsoku/>
        <w:wordWrap/>
        <w:overflowPunct/>
        <w:topLinePunct w:val="0"/>
        <w:autoSpaceDE/>
        <w:autoSpaceDN/>
        <w:bidi w:val="0"/>
        <w:adjustRightInd w:val="0"/>
        <w:spacing w:after="0" w:line="360" w:lineRule="auto"/>
        <w:jc w:val="left"/>
        <w:rPr>
          <w:rFonts w:hint="default" w:ascii="宋体" w:hAnsi="宋体" w:eastAsia="宋体" w:cs="宋体"/>
          <w:b w:val="0"/>
          <w:bCs/>
          <w:color w:val="0D0D0D"/>
          <w:sz w:val="24"/>
          <w:lang w:val="en-US" w:eastAsia="zh-CN"/>
        </w:rPr>
      </w:pPr>
      <w:r>
        <w:rPr>
          <w:rFonts w:hint="eastAsia" w:ascii="宋体" w:hAnsi="宋体" w:eastAsia="宋体" w:cs="宋体"/>
          <w:b/>
          <w:color w:val="0D0D0D"/>
          <w:sz w:val="24"/>
          <w:lang w:val="en-US" w:eastAsia="zh-CN"/>
        </w:rPr>
        <w:t>六、补差措施</w:t>
      </w:r>
    </w:p>
    <w:p w14:paraId="46EEF4E3">
      <w:pPr>
        <w:keepNext w:val="0"/>
        <w:keepLines w:val="0"/>
        <w:pageBreakBefore w:val="0"/>
        <w:widowControl/>
        <w:numPr>
          <w:ilvl w:val="0"/>
          <w:numId w:val="0"/>
        </w:numPr>
        <w:kinsoku/>
        <w:wordWrap/>
        <w:overflowPunct/>
        <w:topLinePunct w:val="0"/>
        <w:autoSpaceDE/>
        <w:autoSpaceDN/>
        <w:bidi w:val="0"/>
        <w:adjustRightInd w:val="0"/>
        <w:spacing w:after="0" w:line="360" w:lineRule="auto"/>
        <w:ind w:firstLine="240" w:firstLineChars="100"/>
        <w:jc w:val="left"/>
        <w:rPr>
          <w:rFonts w:hint="default" w:ascii="宋体" w:hAnsi="宋体" w:eastAsia="宋体" w:cs="宋体"/>
          <w:b w:val="0"/>
          <w:bCs/>
          <w:color w:val="0D0D0D"/>
          <w:sz w:val="24"/>
          <w:lang w:val="en-US" w:eastAsia="zh-CN"/>
        </w:rPr>
      </w:pPr>
      <w:r>
        <w:rPr>
          <w:rFonts w:hint="eastAsia" w:ascii="宋体" w:hAnsi="宋体" w:eastAsia="宋体" w:cs="宋体"/>
          <w:b w:val="0"/>
          <w:bCs/>
          <w:color w:val="0D0D0D"/>
          <w:sz w:val="24"/>
          <w:lang w:val="en-US" w:eastAsia="zh-CN"/>
        </w:rPr>
        <w:t>1.</w:t>
      </w:r>
      <w:r>
        <w:rPr>
          <w:rFonts w:hint="default" w:ascii="宋体" w:hAnsi="宋体" w:eastAsia="宋体" w:cs="宋体"/>
          <w:b w:val="0"/>
          <w:bCs/>
          <w:color w:val="0D0D0D"/>
          <w:sz w:val="24"/>
          <w:lang w:val="en-US" w:eastAsia="zh-CN"/>
        </w:rPr>
        <w:t>个性化学习计划</w:t>
      </w:r>
      <w:r>
        <w:rPr>
          <w:rFonts w:hint="eastAsia" w:ascii="宋体" w:hAnsi="宋体" w:eastAsia="宋体" w:cs="宋体"/>
          <w:b w:val="0"/>
          <w:bCs/>
          <w:color w:val="0D0D0D"/>
          <w:sz w:val="24"/>
          <w:lang w:val="en-US" w:eastAsia="zh-CN"/>
        </w:rPr>
        <w:t>，一生一方案</w:t>
      </w:r>
      <w:r>
        <w:rPr>
          <w:rFonts w:hint="default" w:ascii="宋体" w:hAnsi="宋体" w:eastAsia="宋体" w:cs="宋体"/>
          <w:b w:val="0"/>
          <w:bCs/>
          <w:color w:val="0D0D0D"/>
          <w:sz w:val="24"/>
          <w:lang w:val="en-US" w:eastAsia="zh-CN"/>
        </w:rPr>
        <w:t>：分析学生的学习困难，找出具体原因，如</w:t>
      </w:r>
      <w:r>
        <w:rPr>
          <w:rFonts w:hint="eastAsia" w:ascii="宋体" w:hAnsi="宋体" w:eastAsia="宋体" w:cs="宋体"/>
          <w:b w:val="0"/>
          <w:bCs/>
          <w:color w:val="0D0D0D"/>
          <w:sz w:val="24"/>
          <w:lang w:val="en-US" w:eastAsia="zh-CN"/>
        </w:rPr>
        <w:t>自主学习能力弱、学习内驱力不强，</w:t>
      </w:r>
      <w:r>
        <w:rPr>
          <w:rFonts w:hint="default" w:ascii="宋体" w:hAnsi="宋体" w:eastAsia="宋体" w:cs="宋体"/>
          <w:b w:val="0"/>
          <w:bCs/>
          <w:color w:val="0D0D0D"/>
          <w:sz w:val="24"/>
          <w:lang w:val="en-US" w:eastAsia="zh-CN"/>
        </w:rPr>
        <w:t>基础知识薄弱、理解能力</w:t>
      </w:r>
      <w:r>
        <w:rPr>
          <w:rFonts w:hint="eastAsia" w:ascii="宋体" w:hAnsi="宋体" w:eastAsia="宋体" w:cs="宋体"/>
          <w:b w:val="0"/>
          <w:bCs/>
          <w:color w:val="0D0D0D"/>
          <w:sz w:val="24"/>
          <w:lang w:val="en-US" w:eastAsia="zh-CN"/>
        </w:rPr>
        <w:t>弱</w:t>
      </w:r>
      <w:r>
        <w:rPr>
          <w:rFonts w:hint="default" w:ascii="宋体" w:hAnsi="宋体" w:eastAsia="宋体" w:cs="宋体"/>
          <w:b w:val="0"/>
          <w:bCs/>
          <w:color w:val="0D0D0D"/>
          <w:sz w:val="24"/>
          <w:lang w:val="en-US" w:eastAsia="zh-CN"/>
        </w:rPr>
        <w:t>、</w:t>
      </w:r>
      <w:r>
        <w:rPr>
          <w:rFonts w:hint="eastAsia" w:ascii="宋体" w:hAnsi="宋体" w:eastAsia="宋体" w:cs="宋体"/>
          <w:b w:val="0"/>
          <w:bCs/>
          <w:color w:val="0D0D0D"/>
          <w:sz w:val="24"/>
          <w:lang w:val="en-US" w:eastAsia="zh-CN"/>
        </w:rPr>
        <w:t>应用水平较低、</w:t>
      </w:r>
      <w:r>
        <w:rPr>
          <w:rFonts w:hint="default" w:ascii="宋体" w:hAnsi="宋体" w:eastAsia="宋体" w:cs="宋体"/>
          <w:b w:val="0"/>
          <w:bCs/>
          <w:color w:val="0D0D0D"/>
          <w:sz w:val="24"/>
          <w:lang w:val="en-US" w:eastAsia="zh-CN"/>
        </w:rPr>
        <w:t>学习方法不当等。根据学生的具体情况，制定个性化的学习计划，确保学习目标具体、可达成。</w:t>
      </w:r>
    </w:p>
    <w:p w14:paraId="4BADBECC">
      <w:pPr>
        <w:keepNext w:val="0"/>
        <w:keepLines w:val="0"/>
        <w:pageBreakBefore w:val="0"/>
        <w:widowControl/>
        <w:numPr>
          <w:ilvl w:val="0"/>
          <w:numId w:val="0"/>
        </w:numPr>
        <w:kinsoku/>
        <w:wordWrap/>
        <w:overflowPunct/>
        <w:topLinePunct w:val="0"/>
        <w:autoSpaceDE/>
        <w:autoSpaceDN/>
        <w:bidi w:val="0"/>
        <w:adjustRightInd w:val="0"/>
        <w:spacing w:after="0" w:line="360" w:lineRule="auto"/>
        <w:ind w:firstLine="240" w:firstLineChars="100"/>
        <w:jc w:val="left"/>
        <w:rPr>
          <w:rFonts w:hint="default" w:ascii="宋体" w:hAnsi="宋体" w:eastAsia="宋体" w:cs="宋体"/>
          <w:b w:val="0"/>
          <w:bCs/>
          <w:color w:val="0D0D0D"/>
          <w:sz w:val="24"/>
          <w:lang w:val="en-US" w:eastAsia="zh-CN"/>
        </w:rPr>
      </w:pPr>
      <w:r>
        <w:rPr>
          <w:rFonts w:hint="eastAsia" w:ascii="宋体" w:hAnsi="宋体" w:eastAsia="宋体" w:cs="宋体"/>
          <w:b w:val="0"/>
          <w:bCs/>
          <w:color w:val="0D0D0D"/>
          <w:sz w:val="24"/>
          <w:lang w:val="en-US" w:eastAsia="zh-CN"/>
        </w:rPr>
        <w:t>2.重视</w:t>
      </w:r>
      <w:r>
        <w:rPr>
          <w:rFonts w:hint="default" w:ascii="宋体" w:hAnsi="宋体" w:eastAsia="宋体" w:cs="宋体"/>
          <w:b w:val="0"/>
          <w:bCs/>
          <w:color w:val="0D0D0D"/>
          <w:sz w:val="24"/>
          <w:lang w:val="en-US" w:eastAsia="zh-CN"/>
        </w:rPr>
        <w:t>基础知识</w:t>
      </w:r>
      <w:r>
        <w:rPr>
          <w:rFonts w:hint="eastAsia" w:ascii="宋体" w:hAnsi="宋体" w:eastAsia="宋体" w:cs="宋体"/>
          <w:b w:val="0"/>
          <w:bCs/>
          <w:color w:val="0D0D0D"/>
          <w:sz w:val="24"/>
          <w:lang w:val="en-US" w:eastAsia="zh-CN"/>
        </w:rPr>
        <w:t>，不僵化知识习得</w:t>
      </w:r>
      <w:r>
        <w:rPr>
          <w:rFonts w:hint="default" w:ascii="宋体" w:hAnsi="宋体" w:eastAsia="宋体" w:cs="宋体"/>
          <w:b w:val="0"/>
          <w:bCs/>
          <w:color w:val="0D0D0D"/>
          <w:sz w:val="24"/>
          <w:lang w:val="en-US" w:eastAsia="zh-CN"/>
        </w:rPr>
        <w:t>：针对学生基础知识薄弱的问题，进行有针对性的复习和强化。利用课后时间或小组辅导，帮助学生巩固基础知识，建立扎实的学习基础。</w:t>
      </w:r>
    </w:p>
    <w:p w14:paraId="27153C10">
      <w:pPr>
        <w:keepNext w:val="0"/>
        <w:keepLines w:val="0"/>
        <w:pageBreakBefore w:val="0"/>
        <w:widowControl/>
        <w:numPr>
          <w:ilvl w:val="0"/>
          <w:numId w:val="0"/>
        </w:numPr>
        <w:kinsoku/>
        <w:wordWrap/>
        <w:overflowPunct/>
        <w:topLinePunct w:val="0"/>
        <w:autoSpaceDE/>
        <w:autoSpaceDN/>
        <w:bidi w:val="0"/>
        <w:adjustRightInd w:val="0"/>
        <w:spacing w:after="0" w:line="360" w:lineRule="auto"/>
        <w:ind w:firstLine="240" w:firstLineChars="100"/>
        <w:jc w:val="left"/>
        <w:rPr>
          <w:rFonts w:hint="default" w:ascii="宋体" w:hAnsi="宋体" w:eastAsia="宋体" w:cs="宋体"/>
          <w:b w:val="0"/>
          <w:bCs/>
          <w:color w:val="0D0D0D"/>
          <w:sz w:val="24"/>
          <w:lang w:val="en-US" w:eastAsia="zh-CN"/>
        </w:rPr>
      </w:pPr>
      <w:r>
        <w:rPr>
          <w:rFonts w:hint="eastAsia" w:ascii="宋体" w:hAnsi="宋体" w:eastAsia="宋体" w:cs="宋体"/>
          <w:b w:val="0"/>
          <w:bCs/>
          <w:color w:val="0D0D0D"/>
          <w:sz w:val="24"/>
          <w:lang w:val="en-US" w:eastAsia="zh-CN"/>
        </w:rPr>
        <w:t>3.</w:t>
      </w:r>
      <w:r>
        <w:rPr>
          <w:rFonts w:hint="default" w:ascii="宋体" w:hAnsi="宋体" w:eastAsia="宋体" w:cs="宋体"/>
          <w:b w:val="0"/>
          <w:bCs/>
          <w:color w:val="0D0D0D"/>
          <w:sz w:val="24"/>
          <w:lang w:val="en-US" w:eastAsia="zh-CN"/>
        </w:rPr>
        <w:t>优化学习方法</w:t>
      </w:r>
      <w:r>
        <w:rPr>
          <w:rFonts w:hint="eastAsia" w:ascii="宋体" w:hAnsi="宋体" w:eastAsia="宋体" w:cs="宋体"/>
          <w:b w:val="0"/>
          <w:bCs/>
          <w:color w:val="0D0D0D"/>
          <w:sz w:val="24"/>
          <w:lang w:val="en-US" w:eastAsia="zh-CN"/>
        </w:rPr>
        <w:t>，提升思维能力</w:t>
      </w:r>
      <w:r>
        <w:rPr>
          <w:rFonts w:hint="default" w:ascii="宋体" w:hAnsi="宋体" w:eastAsia="宋体" w:cs="宋体"/>
          <w:b w:val="0"/>
          <w:bCs/>
          <w:color w:val="0D0D0D"/>
          <w:sz w:val="24"/>
          <w:lang w:val="en-US" w:eastAsia="zh-CN"/>
        </w:rPr>
        <w:t>：指导学生掌握有效的学习方法，如预习、复习、笔记记录等。鼓励学生积极参与课堂讨论，勇于表达自己的观点和想法。</w:t>
      </w:r>
    </w:p>
    <w:p w14:paraId="394F0C65">
      <w:pPr>
        <w:keepNext w:val="0"/>
        <w:keepLines w:val="0"/>
        <w:pageBreakBefore w:val="0"/>
        <w:widowControl/>
        <w:numPr>
          <w:ilvl w:val="0"/>
          <w:numId w:val="0"/>
        </w:numPr>
        <w:kinsoku/>
        <w:wordWrap/>
        <w:overflowPunct/>
        <w:topLinePunct w:val="0"/>
        <w:autoSpaceDE/>
        <w:autoSpaceDN/>
        <w:bidi w:val="0"/>
        <w:adjustRightInd w:val="0"/>
        <w:spacing w:after="0" w:line="360" w:lineRule="auto"/>
        <w:ind w:firstLine="240" w:firstLineChars="100"/>
        <w:jc w:val="left"/>
        <w:rPr>
          <w:rFonts w:hint="default" w:ascii="宋体" w:hAnsi="宋体" w:eastAsia="宋体" w:cs="宋体"/>
          <w:b w:val="0"/>
          <w:bCs/>
          <w:color w:val="0D0D0D"/>
          <w:sz w:val="24"/>
          <w:lang w:val="en-US" w:eastAsia="zh-CN"/>
        </w:rPr>
      </w:pPr>
      <w:r>
        <w:rPr>
          <w:rFonts w:hint="eastAsia" w:ascii="宋体" w:hAnsi="宋体" w:eastAsia="宋体" w:cs="宋体"/>
          <w:b w:val="0"/>
          <w:bCs/>
          <w:color w:val="0D0D0D"/>
          <w:sz w:val="24"/>
          <w:lang w:val="en-US" w:eastAsia="zh-CN"/>
        </w:rPr>
        <w:t>4.获得家长配合，做好家校合作</w:t>
      </w:r>
      <w:r>
        <w:rPr>
          <w:rFonts w:hint="default" w:ascii="宋体" w:hAnsi="宋体" w:eastAsia="宋体" w:cs="宋体"/>
          <w:b w:val="0"/>
          <w:bCs/>
          <w:color w:val="0D0D0D"/>
          <w:sz w:val="24"/>
          <w:lang w:val="en-US" w:eastAsia="zh-CN"/>
        </w:rPr>
        <w:t>：与家长保持密切联系，了解学生在家的学习情况。鼓励家长参与孩子的学习过程，共同监督孩子的学习进度。</w:t>
      </w:r>
    </w:p>
    <w:p w14:paraId="23C28826">
      <w:pPr>
        <w:keepNext w:val="0"/>
        <w:keepLines w:val="0"/>
        <w:pageBreakBefore w:val="0"/>
        <w:widowControl/>
        <w:numPr>
          <w:ilvl w:val="0"/>
          <w:numId w:val="0"/>
        </w:numPr>
        <w:kinsoku/>
        <w:wordWrap/>
        <w:overflowPunct/>
        <w:topLinePunct w:val="0"/>
        <w:autoSpaceDE/>
        <w:autoSpaceDN/>
        <w:bidi w:val="0"/>
        <w:adjustRightInd w:val="0"/>
        <w:spacing w:after="0" w:line="360" w:lineRule="auto"/>
        <w:ind w:firstLine="240" w:firstLineChars="100"/>
        <w:jc w:val="left"/>
        <w:rPr>
          <w:rFonts w:hint="default" w:ascii="宋体" w:hAnsi="宋体" w:eastAsia="宋体" w:cs="宋体"/>
          <w:b w:val="0"/>
          <w:bCs/>
          <w:color w:val="0D0D0D"/>
          <w:sz w:val="24"/>
          <w:lang w:val="en-US" w:eastAsia="zh-CN"/>
        </w:rPr>
      </w:pPr>
      <w:r>
        <w:rPr>
          <w:rFonts w:hint="eastAsia" w:ascii="宋体" w:hAnsi="宋体" w:eastAsia="宋体" w:cs="宋体"/>
          <w:b w:val="0"/>
          <w:bCs/>
          <w:color w:val="0D0D0D"/>
          <w:sz w:val="24"/>
          <w:lang w:val="en-US" w:eastAsia="zh-CN"/>
        </w:rPr>
        <w:t>5.发挥生生互助，开展</w:t>
      </w:r>
      <w:r>
        <w:rPr>
          <w:rFonts w:hint="default" w:ascii="宋体" w:hAnsi="宋体" w:eastAsia="宋体" w:cs="宋体"/>
          <w:b w:val="0"/>
          <w:bCs/>
          <w:color w:val="0D0D0D"/>
          <w:sz w:val="24"/>
          <w:lang w:val="en-US" w:eastAsia="zh-CN"/>
        </w:rPr>
        <w:t>小组</w:t>
      </w:r>
      <w:r>
        <w:rPr>
          <w:rFonts w:hint="eastAsia" w:ascii="宋体" w:hAnsi="宋体" w:eastAsia="宋体" w:cs="宋体"/>
          <w:b w:val="0"/>
          <w:bCs/>
          <w:color w:val="0D0D0D"/>
          <w:sz w:val="24"/>
          <w:lang w:val="en-US" w:eastAsia="zh-CN"/>
        </w:rPr>
        <w:t>合作</w:t>
      </w:r>
      <w:r>
        <w:rPr>
          <w:rFonts w:hint="default" w:ascii="宋体" w:hAnsi="宋体" w:eastAsia="宋体" w:cs="宋体"/>
          <w:b w:val="0"/>
          <w:bCs/>
          <w:color w:val="0D0D0D"/>
          <w:sz w:val="24"/>
          <w:lang w:val="en-US" w:eastAsia="zh-CN"/>
        </w:rPr>
        <w:t>：组织学习小组，让学生之间互相帮助、互相学习。安排学习成绩优秀的学生担任小组长，协助老师进行辅导。</w:t>
      </w:r>
    </w:p>
    <w:p w14:paraId="6DBCCA8C">
      <w:pPr>
        <w:keepNext w:val="0"/>
        <w:keepLines w:val="0"/>
        <w:pageBreakBefore w:val="0"/>
        <w:widowControl/>
        <w:numPr>
          <w:ilvl w:val="0"/>
          <w:numId w:val="0"/>
        </w:numPr>
        <w:kinsoku/>
        <w:wordWrap/>
        <w:overflowPunct/>
        <w:topLinePunct w:val="0"/>
        <w:autoSpaceDE/>
        <w:autoSpaceDN/>
        <w:bidi w:val="0"/>
        <w:adjustRightInd w:val="0"/>
        <w:spacing w:after="0" w:line="360" w:lineRule="auto"/>
        <w:ind w:firstLine="240" w:firstLineChars="100"/>
        <w:jc w:val="left"/>
        <w:rPr>
          <w:rFonts w:hint="default" w:ascii="宋体" w:hAnsi="宋体" w:eastAsia="宋体" w:cs="宋体"/>
          <w:b w:val="0"/>
          <w:bCs/>
          <w:color w:val="0D0D0D"/>
          <w:sz w:val="24"/>
          <w:lang w:val="en-US" w:eastAsia="zh-CN"/>
        </w:rPr>
      </w:pPr>
      <w:r>
        <w:rPr>
          <w:rFonts w:hint="eastAsia" w:ascii="宋体" w:hAnsi="宋体" w:eastAsia="宋体" w:cs="宋体"/>
          <w:b w:val="0"/>
          <w:bCs/>
          <w:color w:val="0D0D0D"/>
          <w:sz w:val="24"/>
          <w:lang w:val="en-US" w:eastAsia="zh-CN"/>
        </w:rPr>
        <w:t>6.</w:t>
      </w:r>
      <w:r>
        <w:rPr>
          <w:rFonts w:hint="default" w:ascii="宋体" w:hAnsi="宋体" w:eastAsia="宋体" w:cs="宋体"/>
          <w:b w:val="0"/>
          <w:bCs/>
          <w:color w:val="0D0D0D"/>
          <w:sz w:val="24"/>
          <w:lang w:val="en-US" w:eastAsia="zh-CN"/>
        </w:rPr>
        <w:t>定期评估与反馈：定期对学生的学习情况进行评估，了解他们的学习进度和困难。根据评估结果，及时调整补差措施，确保学生能够在科学学科上取得进步。</w:t>
      </w:r>
    </w:p>
    <w:p w14:paraId="2980D28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mMDBjMTQyN2JhODYxOWI2ZGU2OGEyM2M1OTY3ZjkifQ=="/>
  </w:docVars>
  <w:rsids>
    <w:rsidRoot w:val="00000000"/>
    <w:rsid w:val="04206ACD"/>
    <w:rsid w:val="282979D4"/>
    <w:rsid w:val="3BA61068"/>
    <w:rsid w:val="3DBC33E2"/>
    <w:rsid w:val="65C70C3F"/>
    <w:rsid w:val="67AA2BCE"/>
    <w:rsid w:val="6C693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2418</Words>
  <Characters>2674</Characters>
  <Lines>0</Lines>
  <Paragraphs>0</Paragraphs>
  <TotalTime>0</TotalTime>
  <ScaleCrop>false</ScaleCrop>
  <LinksUpToDate>false</LinksUpToDate>
  <CharactersWithSpaces>2676</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2023-09-17T04:42:00Z</dcterms:created>
  <dc:creator>86178</dc:creator>
  <cp:lastModifiedBy>星际的星</cp:lastModifiedBy>
  <dcterms:modified xsi:type="dcterms:W3CDTF">2024-08-28T08:59:44Z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E6224A1569604E63B4707DB76176AC8F</vt:lpwstr>
  </property>
</Properties>
</file>